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26" w:rsidRPr="00925A07" w:rsidRDefault="00B12B26" w:rsidP="00B12B2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925A07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 xml:space="preserve">"Получение растительных индикаторов и исследование с их помощью растворов веществ". </w:t>
      </w:r>
    </w:p>
    <w:p w:rsidR="00A56D9B" w:rsidRPr="00925A07" w:rsidRDefault="00B12B26" w:rsidP="00A56D9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Занятие факультатива </w:t>
      </w:r>
      <w:r w:rsidR="0027253A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«Юный химик»</w:t>
      </w:r>
      <w:bookmarkStart w:id="0" w:name="_GoBack"/>
      <w:bookmarkEnd w:id="0"/>
      <w:r w:rsidRPr="00925A07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 xml:space="preserve"> для учащихся 9-го класса</w:t>
      </w:r>
    </w:p>
    <w:p w:rsidR="00B12B26" w:rsidRPr="00925A07" w:rsidRDefault="00B12B26" w:rsidP="00A56D9B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Цели:</w:t>
      </w:r>
    </w:p>
    <w:p w:rsidR="00B12B26" w:rsidRPr="00925A07" w:rsidRDefault="00B12B26" w:rsidP="00B12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умений организации деятельности по решению творческих задач и выполнению эксперимента;</w:t>
      </w:r>
    </w:p>
    <w:p w:rsidR="00B12B26" w:rsidRPr="00925A07" w:rsidRDefault="00B12B26" w:rsidP="00B12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знакомство учащихся с методами качественного анализа;</w:t>
      </w:r>
    </w:p>
    <w:p w:rsidR="00B12B26" w:rsidRPr="00925A07" w:rsidRDefault="00B12B26" w:rsidP="00B12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получение растительных индикаторов экспериментальным путём из различных </w:t>
      </w:r>
      <w:proofErr w:type="gram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частей  растений</w:t>
      </w:r>
      <w:proofErr w:type="gram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  (плодов, листьев, корнеплодов,  цветков);</w:t>
      </w:r>
    </w:p>
    <w:p w:rsidR="00B12B26" w:rsidRPr="00925A07" w:rsidRDefault="00B12B26" w:rsidP="00B12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  свойств</w:t>
      </w:r>
      <w:proofErr w:type="gram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полученных индикаторов, возможностей их использования.</w:t>
      </w:r>
    </w:p>
    <w:p w:rsidR="00B12B26" w:rsidRPr="00925A07" w:rsidRDefault="00B12B26" w:rsidP="00B12B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Оборудование и реактивы:</w:t>
      </w:r>
    </w:p>
    <w:p w:rsidR="00B12B26" w:rsidRPr="00925A07" w:rsidRDefault="00B12B26" w:rsidP="00B12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Весы с разновесами, штатив, плоды, листья различных растений, спиртовка, спички, химические стаканы (2 шт.), стеклянная палочка, воронка, фильтр, пробирки (2 шт.), полоски фильтровальной бумаги, склянка, ступка с пестиком, асбестовая сетка, склянки для полученных индикаторов, вода, р</w:t>
      </w:r>
      <w:r w:rsidR="00DD6FC2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астворы кислоты и щёлочи, спирт</w:t>
      </w:r>
      <w:r w:rsidR="005640BE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, универсальная индикаторная бумага.</w:t>
      </w:r>
    </w:p>
    <w:p w:rsidR="00B12B26" w:rsidRPr="00925A07" w:rsidRDefault="00B12B26" w:rsidP="00B12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Растворы для «химической жеребьёвки»: Na</w:t>
      </w:r>
      <w:r w:rsidRPr="00925A07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CO</w:t>
      </w:r>
      <w:r w:rsidRPr="00925A07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3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, H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2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SO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4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NaOH</w:t>
      </w:r>
      <w:proofErr w:type="spellEnd"/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Cu</w:t>
      </w:r>
      <w:proofErr w:type="spellEnd"/>
      <w:r w:rsidR="00FF5DB3" w:rsidRPr="00925A07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SO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4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FF5DB3" w:rsidRPr="00925A07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BaCl</w:t>
      </w:r>
      <w:proofErr w:type="spellEnd"/>
      <w:r w:rsidR="00FF5DB3" w:rsidRPr="00925A07">
        <w:rPr>
          <w:rFonts w:ascii="Times New Roman" w:eastAsia="Times New Roman" w:hAnsi="Times New Roman" w:cs="Times New Roman"/>
          <w:sz w:val="21"/>
          <w:szCs w:val="21"/>
          <w:vertAlign w:val="subscript"/>
          <w:lang w:eastAsia="ru-RU"/>
        </w:rPr>
        <w:t>2</w:t>
      </w:r>
      <w:r w:rsidR="00FF5DB3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FF5DB3" w:rsidRPr="00925A07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HCl</w:t>
      </w:r>
      <w:proofErr w:type="spell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I. </w:t>
      </w:r>
      <w:proofErr w:type="spellStart"/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Ориентационно</w:t>
      </w:r>
      <w:proofErr w:type="spellEnd"/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-мотивационный этап.</w:t>
      </w:r>
    </w:p>
    <w:p w:rsidR="008F1432" w:rsidRPr="00925A07" w:rsidRDefault="008F1432" w:rsidP="008F14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Приветствие.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 «Я рада приветствовать вас в нашей экспериментальн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ой лаборатории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F1432" w:rsidRPr="00925A07" w:rsidRDefault="008F1432" w:rsidP="008F14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Целеполагание.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 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«В адрес нашего факультатива пришло письмо-заявка следующего содержания: В быту часто приходится определять качество продуктов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косметических </w:t>
      </w:r>
      <w:r w:rsidR="007C0F3D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бытовых товаров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с их разнообразием и различным качеством. Можете ли вы предложить нам простые химические способы определения качества </w:t>
      </w:r>
      <w:r w:rsidR="007C0F3D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товаров?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Возьмёмся решать эту задачу?</w:t>
      </w:r>
      <w:r w:rsidR="007C0F3D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Возможно, решение её займет у нас несколько занятий».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159C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Обсуждение в группах (3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группы).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Предложения групп.</w:t>
      </w:r>
      <w:r w:rsidR="007C0F3D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предложений групп выходим на понятие «индикаторы».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Проблема: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 А где взять дома индикаторы?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Вопросы:</w:t>
      </w:r>
    </w:p>
    <w:p w:rsidR="008F1432" w:rsidRPr="00925A07" w:rsidRDefault="008F1432" w:rsidP="008F1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чего можно получить индикаторы в домашних условиях?</w:t>
      </w:r>
    </w:p>
    <w:p w:rsidR="008F1432" w:rsidRPr="00925A07" w:rsidRDefault="008F1432" w:rsidP="008F1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это можно сделать, т. е. какой провести эксперимент?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Обсуждение в группах.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Предложения групп.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результате обсуждения выходим на предложение получить водные или спиртовые вытяжки из различных окрашенных частей растений.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II. Операционно-</w:t>
      </w:r>
      <w:proofErr w:type="gramStart"/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исполнительский  этап</w:t>
      </w:r>
      <w:proofErr w:type="gramEnd"/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8F1432" w:rsidRPr="00925A07" w:rsidRDefault="008F1432" w:rsidP="008F14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>1. Работа над понятием «индикаторы».</w:t>
      </w:r>
    </w:p>
    <w:p w:rsidR="008F1432" w:rsidRPr="00925A07" w:rsidRDefault="008F1432" w:rsidP="008F14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AF05B1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Давайте вспомним, что такое индикаторы? Какие мы знаем индикаторы?</w:t>
      </w:r>
      <w:r w:rsidR="00F80299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C2CF1" w:rsidRPr="00925A07" w:rsidRDefault="004C2CF1" w:rsidP="004C2C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25A07">
        <w:rPr>
          <w:b/>
          <w:bCs/>
          <w:color w:val="000000"/>
          <w:sz w:val="22"/>
          <w:szCs w:val="22"/>
        </w:rPr>
        <w:t>Растительные индикаторы</w:t>
      </w:r>
      <w:r w:rsidR="00C818B7" w:rsidRPr="00925A07">
        <w:rPr>
          <w:b/>
          <w:bCs/>
          <w:color w:val="000000"/>
          <w:sz w:val="22"/>
          <w:szCs w:val="22"/>
        </w:rPr>
        <w:t xml:space="preserve"> (сообщение учащегося)</w:t>
      </w:r>
    </w:p>
    <w:p w:rsidR="004C2CF1" w:rsidRPr="00925A07" w:rsidRDefault="004C2CF1" w:rsidP="004C2C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25A07">
        <w:rPr>
          <w:color w:val="000000"/>
          <w:sz w:val="22"/>
          <w:szCs w:val="22"/>
        </w:rPr>
        <w:t xml:space="preserve">Кто не восхищался красками цветущего луга, лесной опушки, осенней листвы, даров сада и поля? Но далеко не всем известно, откуда у природы такая богатая палитра цветов. Всей этой красотой обязаны мы специальным красящим веществам — пигментам, которых в растительном мире известно около 2 тысяч. Цвет вещества, в том числе и пигмента, определяется его способностью к поглощению света. Если свет, падающий на вещество или какой-либо орган растения, равномерно отражается, они выглядят белыми. Если же все лучи поглощаются, объект воспринимается как черный. Человеческий глаз способен различать до 300 оттенков ахроматического, т. е. </w:t>
      </w:r>
      <w:proofErr w:type="spellStart"/>
      <w:r w:rsidRPr="00925A07">
        <w:rPr>
          <w:color w:val="000000"/>
          <w:sz w:val="22"/>
          <w:szCs w:val="22"/>
        </w:rPr>
        <w:t>нецветного</w:t>
      </w:r>
      <w:proofErr w:type="spellEnd"/>
      <w:r w:rsidRPr="00925A07">
        <w:rPr>
          <w:color w:val="000000"/>
          <w:sz w:val="22"/>
          <w:szCs w:val="22"/>
        </w:rPr>
        <w:t>, серого цвета. Если вещество поглощает только отдельные участки видимой части солнечного спектра, оно приобретает определенную окраску.</w:t>
      </w:r>
    </w:p>
    <w:p w:rsidR="004C2CF1" w:rsidRPr="00925A07" w:rsidRDefault="004C2CF1" w:rsidP="004C2CF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25A07">
        <w:rPr>
          <w:color w:val="000000"/>
          <w:sz w:val="22"/>
          <w:szCs w:val="22"/>
        </w:rPr>
        <w:lastRenderedPageBreak/>
        <w:t xml:space="preserve">Хлорофилл определяет зеленую окраску листьев. Без этого изумрудного пигмента невозможна жизнь на планете, так как он осуществляет фотосинтез. Спутниками хлорофилла являются </w:t>
      </w:r>
      <w:proofErr w:type="spellStart"/>
      <w:r w:rsidRPr="00925A07">
        <w:rPr>
          <w:color w:val="000000"/>
          <w:sz w:val="22"/>
          <w:szCs w:val="22"/>
        </w:rPr>
        <w:t>каротиноиды</w:t>
      </w:r>
      <w:proofErr w:type="spellEnd"/>
      <w:r w:rsidRPr="00925A07">
        <w:rPr>
          <w:color w:val="000000"/>
          <w:sz w:val="22"/>
          <w:szCs w:val="22"/>
        </w:rPr>
        <w:t xml:space="preserve">, которые определяют желтое, оранжевое и красное окрашивание. Так, желтые зерна кукурузы, оранжевая кожура мандарина, красные плоды шиповника своей окраской обязаны </w:t>
      </w:r>
      <w:proofErr w:type="spellStart"/>
      <w:r w:rsidRPr="00925A07">
        <w:rPr>
          <w:color w:val="000000"/>
          <w:sz w:val="22"/>
          <w:szCs w:val="22"/>
        </w:rPr>
        <w:t>каротиноидам</w:t>
      </w:r>
      <w:proofErr w:type="spellEnd"/>
      <w:r w:rsidRPr="00925A07">
        <w:rPr>
          <w:color w:val="000000"/>
          <w:sz w:val="22"/>
          <w:szCs w:val="22"/>
        </w:rPr>
        <w:t>. Третья группа пигментов — антоцианы, которые определяют практически все краски растений — от оранжевой и красной до синей. Особый интерес представляют пигменты третьей группы – антоцианы, которые обладают хорошими индикаторными свойствами.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b/>
          <w:bCs/>
          <w:color w:val="000000"/>
          <w:sz w:val="21"/>
          <w:szCs w:val="21"/>
        </w:rPr>
        <w:t>Шкала рН и характер среды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 xml:space="preserve">Для определения характера среды используется рН-шкала. Термин рН образовался от датского слова </w:t>
      </w:r>
      <w:proofErr w:type="spellStart"/>
      <w:r w:rsidRPr="00925A07">
        <w:rPr>
          <w:color w:val="000000"/>
          <w:sz w:val="21"/>
          <w:szCs w:val="21"/>
        </w:rPr>
        <w:t>potenz</w:t>
      </w:r>
      <w:proofErr w:type="spellEnd"/>
      <w:r w:rsidRPr="00925A07">
        <w:rPr>
          <w:color w:val="000000"/>
          <w:sz w:val="21"/>
          <w:szCs w:val="21"/>
        </w:rPr>
        <w:t xml:space="preserve"> – степень и «Н» - символа водорода.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Численное значение водородного показателя (рН) в шкале от 0 до 14 характеризует концентрацию кислоты или щелочи в растворе. Значение 0 указывает на то, что раствор представляет собой сильную кислоту, среднее значение 7 соответствует нейтральному раствору, рН= 14 имеют сильные основания, или щелочи. В нейтральном растворе при 25°С рН = 7. В кислых растворах рН 7, и тем больше, чем больше щёлочность раствора.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noProof/>
          <w:color w:val="000000"/>
          <w:sz w:val="21"/>
          <w:szCs w:val="21"/>
        </w:rPr>
        <w:drawing>
          <wp:inline distT="0" distB="0" distL="0" distR="0" wp14:anchorId="436E02C9" wp14:editId="4E9820EE">
            <wp:extent cx="6038850" cy="1428750"/>
            <wp:effectExtent l="0" t="0" r="0" b="0"/>
            <wp:docPr id="1" name="Рисунок 1" descr="https://fhd.multiurok.ru/5/0/4/5042a58c41a8908271c77651a0154a27c2cc6b90/razrabotka-praktichieskoi-raboty-izghotovlieniie-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5/0/4/5042a58c41a8908271c77651a0154a27c2cc6b90/razrabotka-praktichieskoi-raboty-izghotovlieniie-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Индикаторы меняют свой цвет в зависимости от значения рН по-разному.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b/>
          <w:bCs/>
          <w:color w:val="000000"/>
          <w:sz w:val="21"/>
          <w:szCs w:val="21"/>
        </w:rPr>
        <w:t>Применение природных индикаторов в медицине.</w:t>
      </w:r>
      <w:r w:rsidR="00C818B7" w:rsidRPr="00925A07">
        <w:rPr>
          <w:b/>
          <w:bCs/>
          <w:color w:val="000000"/>
          <w:sz w:val="21"/>
          <w:szCs w:val="21"/>
        </w:rPr>
        <w:t xml:space="preserve"> (сообщение обучающегося)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Данные последних лет свидетельствуют, что красящие вещества растений обладают многообразными лечебными эффектами и благотворно влияние на организм человека.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Антоцианы имеют огромное биохимическое значение. Они являются мощными антиоксидантами, которые сильнее в 50 раз витамина С. Они оказывают защитное действие на сосуды, уменьшая их ломкость, помогают снизить уровень сахара в крови, улучшают память. Поступая в организм человека с фруктами и овощами, антоцианы проявляют действие, схожее с витамином Р, они поддерживают нормальное состояние кровяного давления и сосудов, предупреждая внутренние кровоизлияния.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Антоцианы обладают уникальными свойствами </w:t>
      </w:r>
      <w:r w:rsidRPr="00925A07">
        <w:rPr>
          <w:b/>
          <w:bCs/>
          <w:color w:val="000000"/>
          <w:sz w:val="21"/>
          <w:szCs w:val="21"/>
        </w:rPr>
        <w:t>– </w:t>
      </w:r>
      <w:r w:rsidRPr="00925A07">
        <w:rPr>
          <w:color w:val="000000"/>
          <w:sz w:val="21"/>
          <w:szCs w:val="21"/>
        </w:rPr>
        <w:t>подавляют рост опухолей.</w:t>
      </w:r>
      <w:r w:rsidRPr="00925A07">
        <w:rPr>
          <w:b/>
          <w:bCs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 xml:space="preserve">Так, </w:t>
      </w:r>
      <w:proofErr w:type="gramStart"/>
      <w:r w:rsidRPr="00925A07">
        <w:rPr>
          <w:color w:val="000000"/>
          <w:sz w:val="21"/>
          <w:szCs w:val="21"/>
        </w:rPr>
        <w:t>например</w:t>
      </w:r>
      <w:proofErr w:type="gramEnd"/>
      <w:r w:rsidRPr="00925A07">
        <w:rPr>
          <w:color w:val="000000"/>
          <w:sz w:val="21"/>
          <w:szCs w:val="21"/>
        </w:rPr>
        <w:t xml:space="preserve"> недавние исследования показали, что употребление антоцианов в пищу помогает сократить риск заболевания раком пищевода и прямой кишки. Приготовленные из растений, содержащих антоцианы, водные и подкисленные настои в течение нескольких часов уничтожали бактерии дизентерии и брюшного тифа. Антоцианы помогают предотвратить развитие катаракты и в целом оказывают благоприятное воздействие на весь организм. Поэтому овощи и фрукты ярких цветов считаются полезными для организма.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b/>
          <w:bCs/>
          <w:color w:val="000000"/>
          <w:sz w:val="21"/>
          <w:szCs w:val="21"/>
        </w:rPr>
        <w:t xml:space="preserve">Применение природных индикаторов в народном хозяйстве и </w:t>
      </w:r>
      <w:proofErr w:type="gramStart"/>
      <w:r w:rsidRPr="00925A07">
        <w:rPr>
          <w:b/>
          <w:bCs/>
          <w:color w:val="000000"/>
          <w:sz w:val="21"/>
          <w:szCs w:val="21"/>
        </w:rPr>
        <w:t>быту.</w:t>
      </w:r>
      <w:r w:rsidR="00C818B7" w:rsidRPr="00925A07">
        <w:rPr>
          <w:b/>
          <w:bCs/>
          <w:color w:val="000000"/>
          <w:sz w:val="21"/>
          <w:szCs w:val="21"/>
        </w:rPr>
        <w:t>(</w:t>
      </w:r>
      <w:proofErr w:type="gramEnd"/>
      <w:r w:rsidR="00C818B7" w:rsidRPr="00925A07">
        <w:rPr>
          <w:b/>
          <w:bCs/>
          <w:color w:val="000000"/>
          <w:sz w:val="21"/>
          <w:szCs w:val="21"/>
        </w:rPr>
        <w:t>сообщение обучающегося)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Кроме медицины антоцианы также используются и в других областях народного хозяйства. Например, в сельском хозяйстве, для оценки химического состава почвы, степени её плодородия, при разведке полезных ископаемых.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 xml:space="preserve">Или взять хотя бы всем известный картофель. Он имеет различную окраску кожуры, глазков, проростков и мякоти: белую, желтую, розовую, красную, синюю, темно-фиолетовую и даже черную. Различие окраски картофеля зависит от содержащихся в нем пигментов: белая - от бесцветных </w:t>
      </w:r>
      <w:proofErr w:type="spellStart"/>
      <w:r w:rsidRPr="00925A07">
        <w:rPr>
          <w:color w:val="000000"/>
          <w:sz w:val="21"/>
          <w:szCs w:val="21"/>
        </w:rPr>
        <w:t>лейкоантоцианов</w:t>
      </w:r>
      <w:proofErr w:type="spellEnd"/>
      <w:r w:rsidRPr="00925A07">
        <w:rPr>
          <w:color w:val="000000"/>
          <w:sz w:val="21"/>
          <w:szCs w:val="21"/>
        </w:rPr>
        <w:t xml:space="preserve"> или катехинов, желтая - от флавонов и </w:t>
      </w:r>
      <w:proofErr w:type="spellStart"/>
      <w:r w:rsidRPr="00925A07">
        <w:rPr>
          <w:color w:val="000000"/>
          <w:sz w:val="21"/>
          <w:szCs w:val="21"/>
        </w:rPr>
        <w:t>флавоноидов</w:t>
      </w:r>
      <w:proofErr w:type="spellEnd"/>
      <w:r w:rsidRPr="00925A07">
        <w:rPr>
          <w:color w:val="000000"/>
          <w:sz w:val="21"/>
          <w:szCs w:val="21"/>
        </w:rPr>
        <w:t xml:space="preserve">, красная и фиолетовая - от антоцианов. Окрашенные клубни картофеля, как правило, богаче необходимыми для нашего организма веществами. Так, например, клубни с желтой мякотью имеют повышенное содержание жира, </w:t>
      </w:r>
      <w:proofErr w:type="spellStart"/>
      <w:r w:rsidRPr="00925A07">
        <w:rPr>
          <w:color w:val="000000"/>
          <w:sz w:val="21"/>
          <w:szCs w:val="21"/>
        </w:rPr>
        <w:t>каротиноидов</w:t>
      </w:r>
      <w:proofErr w:type="spellEnd"/>
      <w:r w:rsidRPr="00925A07">
        <w:rPr>
          <w:color w:val="000000"/>
          <w:sz w:val="21"/>
          <w:szCs w:val="21"/>
        </w:rPr>
        <w:t xml:space="preserve">, рибофлавина и комплекса </w:t>
      </w:r>
      <w:proofErr w:type="spellStart"/>
      <w:r w:rsidRPr="00925A07">
        <w:rPr>
          <w:color w:val="000000"/>
          <w:sz w:val="21"/>
          <w:szCs w:val="21"/>
        </w:rPr>
        <w:t>флавоноидов</w:t>
      </w:r>
      <w:proofErr w:type="spellEnd"/>
      <w:r w:rsidRPr="00925A07">
        <w:rPr>
          <w:color w:val="000000"/>
          <w:sz w:val="21"/>
          <w:szCs w:val="21"/>
        </w:rPr>
        <w:t>.</w:t>
      </w:r>
      <w:r w:rsidRPr="00925A07">
        <w:rPr>
          <w:color w:val="000000"/>
          <w:sz w:val="21"/>
          <w:szCs w:val="21"/>
        </w:rPr>
        <w:br/>
        <w:t>За счет способности антоцианов менять свою окраску можно наблюдать изменение цвета клубней картофеля в зависимости от применения минеральных удобрений и ядохимикатов. При внесении фосфорных удобрений картофель становиться белым, сульфат калия придаёт розовый цвет. Окраска клубней меняется под влиянием ядохимикатов, содержащих медь, железо, серу, фосфор и другие элементы.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Так же антоцианы</w:t>
      </w:r>
      <w:r w:rsidRPr="00925A07">
        <w:rPr>
          <w:b/>
          <w:bCs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>применяются</w:t>
      </w:r>
      <w:r w:rsidRPr="00925A07">
        <w:rPr>
          <w:b/>
          <w:bCs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>в косметике, т.к. обладают стабилизирующим эффектом и являются коллагенами и в пищевой промышленности в виде добавки E163 в качестве природных красителей. Они применяются в производстве кондитерских изделий, напитков, йогуртов и других пищевых продуктов.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lastRenderedPageBreak/>
        <w:t>Растительные индикаторы можно использовать и в быту: определять среду растворов различных средств бытовой химии и косметических средств;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удалять пятна растительного происхождения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 «Я предлагаю следующий порядок дальнейшей работы в группах:</w:t>
      </w:r>
    </w:p>
    <w:p w:rsidR="00C2159C" w:rsidRPr="00925A07" w:rsidRDefault="00C2159C" w:rsidP="00C215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темы эксперимента – “химическая жеребьёвка”;</w:t>
      </w:r>
    </w:p>
    <w:p w:rsidR="00C2159C" w:rsidRPr="00925A07" w:rsidRDefault="00C2159C" w:rsidP="00C215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эксперимента в группах и подготовка отчёта;</w:t>
      </w:r>
    </w:p>
    <w:p w:rsidR="00C2159C" w:rsidRPr="00925A07" w:rsidRDefault="00C2159C" w:rsidP="00C215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 от групп;</w:t>
      </w:r>
    </w:p>
    <w:p w:rsidR="00C2159C" w:rsidRPr="00925A07" w:rsidRDefault="00C2159C" w:rsidP="00C215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формулирование выводов.</w:t>
      </w:r>
      <w:r w:rsidR="007C0F3D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(записать на доске)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Вы согласны с таким порядком работы?»</w:t>
      </w:r>
    </w:p>
    <w:p w:rsidR="00C2159C" w:rsidRPr="00925A07" w:rsidRDefault="00C2159C" w:rsidP="00C215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>2. «Химическая жеребьёвка».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«Химическая жеребьёвка» проводится для выбора эксперимента группами учащихся или выбора эксперимента консультантами.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Представители от групп или консультанты подходят к столу и проводят по одному опыту (сливают попарно растворы), и по результатам опытов определяется, какой эксперимент будет проводить группа или с какой группой будет работать консультант.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(Результаты записаны на обратной стороне доски.)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1481"/>
      </w:tblGrid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химических реакций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</w:t>
            </w:r>
          </w:p>
        </w:tc>
      </w:tr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7C0F3D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F3D" w:rsidRPr="00925A07" w:rsidRDefault="007C0F3D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голубого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0F3D" w:rsidRPr="00925A07" w:rsidRDefault="004F0175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белого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</w:tbl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Набор реактивов для «химической жеребьёвки». 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055"/>
        <w:gridCol w:w="1055"/>
        <w:gridCol w:w="3458"/>
      </w:tblGrid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Реагент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Реагент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химических реакций</w:t>
            </w:r>
          </w:p>
        </w:tc>
      </w:tr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925A0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925A0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2159C" w:rsidRPr="00925A07" w:rsidRDefault="00C2159C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газа</w:t>
            </w:r>
          </w:p>
        </w:tc>
      </w:tr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</w:t>
            </w:r>
            <w:proofErr w:type="spellEnd"/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голубого цвета</w:t>
            </w:r>
          </w:p>
        </w:tc>
      </w:tr>
      <w:tr w:rsidR="005227EA" w:rsidRPr="00925A07" w:rsidTr="00E455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F0175" w:rsidRPr="00925A07" w:rsidRDefault="004F0175" w:rsidP="00E4552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белого цвета</w:t>
            </w:r>
          </w:p>
        </w:tc>
      </w:tr>
    </w:tbl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«жеребьёвки» ученики по группам рассаживаются за столы для выполнения, выбранного эксперимента.</w:t>
      </w:r>
    </w:p>
    <w:p w:rsidR="00C2159C" w:rsidRPr="00925A07" w:rsidRDefault="00C2159C" w:rsidP="00C215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>3. Обсуждение плана действий.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 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«Деятельность группы включает:</w:t>
      </w:r>
    </w:p>
    <w:p w:rsidR="00C2159C" w:rsidRPr="00925A07" w:rsidRDefault="00C2159C" w:rsidP="00C215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выполнение эксперимента;</w:t>
      </w:r>
    </w:p>
    <w:p w:rsidR="00C2159C" w:rsidRPr="00925A07" w:rsidRDefault="00C2159C" w:rsidP="00C215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заполнение </w:t>
      </w:r>
      <w:proofErr w:type="gram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общей  таблицы</w:t>
      </w:r>
      <w:proofErr w:type="gram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доске;</w:t>
      </w:r>
    </w:p>
    <w:p w:rsidR="00C2159C" w:rsidRPr="00925A07" w:rsidRDefault="004F0175" w:rsidP="004F01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отчёта.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Реактивы для задач выставлены на отдельном столе.</w:t>
      </w:r>
    </w:p>
    <w:p w:rsidR="00C2159C" w:rsidRPr="00925A07" w:rsidRDefault="00C84792" w:rsidP="00C847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 xml:space="preserve">4. Выполнение эксперимента по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инструктивным карточкам.</w:t>
      </w:r>
    </w:p>
    <w:p w:rsidR="00C2159C" w:rsidRPr="00925A07" w:rsidRDefault="00C2159C" w:rsidP="00C215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>5. Отчёты групп.</w:t>
      </w:r>
    </w:p>
    <w:p w:rsidR="00C2159C" w:rsidRPr="00925A07" w:rsidRDefault="00C2159C" w:rsidP="00C215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заполнение общей таблицы;</w:t>
      </w:r>
    </w:p>
    <w:p w:rsidR="00C2159C" w:rsidRPr="00925A07" w:rsidRDefault="00C2159C" w:rsidP="00AF05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устное сообщение.</w:t>
      </w:r>
    </w:p>
    <w:p w:rsidR="00925A07" w:rsidRDefault="00925A0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7EA" w:rsidRPr="00925A07" w:rsidRDefault="0002112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Инструктивная карточка №1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растительные индикаторы.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познакомиться с растениями-индикаторами.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получить растительные индикаторы экспериментальным путем, используя для           исследования различные части растений (плоды, листья, корнеплоды, цветки).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изучить свойства полученных индикаторов, возможности их использования.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5227EA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 2</w:t>
      </w:r>
      <w:r w:rsidR="00021127"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5227EA" w:rsidRPr="00925A07" w:rsidRDefault="005227EA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индикато</w:t>
      </w:r>
      <w:r w:rsidR="00021127"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ров из </w:t>
      </w: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корнеплодов свёклы.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Весы с разновесами, штатив, плоды калины и черники, кусочки корнеплода свёклы, вода, спиртовка, спички, химический стакан-2, стеклянная палочка, воронка, филь</w:t>
      </w:r>
      <w:r w:rsidR="00471F67"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тр, 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пробирки, растворы кислоты и щелочи, полоски фильтровальной бумаги, пустая склянка, спирт, ступка с песком, асбестовая сетка.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C84792" w:rsidP="005227E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Взвесьте 2г. корнеплодов свёклы</w:t>
      </w:r>
      <w:r w:rsidR="005227EA"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перенесите в химический стакан.</w:t>
      </w:r>
    </w:p>
    <w:p w:rsidR="005227EA" w:rsidRPr="00925A07" w:rsidRDefault="005227EA" w:rsidP="005227E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10мл. воды и кипятите в течении 1-2мин. (весовые отношения корнеплода и воды 1:1)</w:t>
      </w:r>
    </w:p>
    <w:p w:rsidR="005227EA" w:rsidRPr="00925A07" w:rsidRDefault="005227EA" w:rsidP="005227E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Охладите растворы и профильтруйте. </w:t>
      </w:r>
    </w:p>
    <w:p w:rsidR="005227EA" w:rsidRPr="00925A07" w:rsidRDefault="005227EA" w:rsidP="005227E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Испытайте действие на полученные </w:t>
      </w:r>
      <w:proofErr w:type="gramStart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 а</w:t>
      </w:r>
      <w:proofErr w:type="gramEnd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кислоты, б) щелочи. Для этого в пробирки прилейте 2мл. полученного раствора и добавьте к ним по 0,5 мл в одну - раствора кислоты, в другую - раствор щелочи (или соды). </w:t>
      </w:r>
    </w:p>
    <w:p w:rsidR="005227EA" w:rsidRPr="00925A07" w:rsidRDefault="005227EA" w:rsidP="005227E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занесите в таблицу.</w:t>
      </w:r>
    </w:p>
    <w:p w:rsidR="005227EA" w:rsidRPr="00925A07" w:rsidRDefault="005227EA" w:rsidP="005227E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о возможности использования данного растения (его частей) в качестве индикатора.</w:t>
      </w:r>
    </w:p>
    <w:p w:rsidR="005227EA" w:rsidRPr="00925A07" w:rsidRDefault="005227EA" w:rsidP="005227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988"/>
        <w:gridCol w:w="2214"/>
        <w:gridCol w:w="1780"/>
        <w:gridCol w:w="1766"/>
      </w:tblGrid>
      <w:tr w:rsidR="005227EA" w:rsidRPr="00925A07" w:rsidTr="00E45522">
        <w:trPr>
          <w:trHeight w:val="300"/>
          <w:jc w:val="center"/>
        </w:trPr>
        <w:tc>
          <w:tcPr>
            <w:tcW w:w="540" w:type="dxa"/>
            <w:vMerge w:val="restart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№</w:t>
            </w:r>
          </w:p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Сырьё для приготовления</w:t>
            </w:r>
          </w:p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индикатора</w:t>
            </w:r>
          </w:p>
        </w:tc>
        <w:tc>
          <w:tcPr>
            <w:tcW w:w="2214" w:type="dxa"/>
            <w:vMerge w:val="restart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Естественный цвет индикатора</w:t>
            </w:r>
          </w:p>
        </w:tc>
        <w:tc>
          <w:tcPr>
            <w:tcW w:w="3546" w:type="dxa"/>
            <w:gridSpan w:val="2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Изменение окраски</w:t>
            </w:r>
          </w:p>
        </w:tc>
      </w:tr>
      <w:tr w:rsidR="005227EA" w:rsidRPr="00925A07" w:rsidTr="00E45522">
        <w:trPr>
          <w:trHeight w:val="240"/>
          <w:jc w:val="center"/>
        </w:trPr>
        <w:tc>
          <w:tcPr>
            <w:tcW w:w="540" w:type="dxa"/>
            <w:vMerge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От кислоты</w:t>
            </w:r>
          </w:p>
        </w:tc>
        <w:tc>
          <w:tcPr>
            <w:tcW w:w="1766" w:type="dxa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От основания</w:t>
            </w:r>
          </w:p>
        </w:tc>
      </w:tr>
      <w:tr w:rsidR="005227EA" w:rsidRPr="00925A07" w:rsidTr="00E45522">
        <w:trPr>
          <w:trHeight w:val="456"/>
          <w:jc w:val="center"/>
        </w:trPr>
        <w:tc>
          <w:tcPr>
            <w:tcW w:w="540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</w:tr>
    </w:tbl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021127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карточка №2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растительные индикаторы.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познакомиться с растениями-индикаторами.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получить растительные индикаторы экспериментальным путем, используя для           исследования различные части растений (плоды, листья, корнеплоды, цветки).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изучить свойства полученных индикаторов, возможности их использования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0912AF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</w:t>
      </w:r>
      <w:r w:rsidR="00021127"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сперимент 2</w:t>
      </w:r>
    </w:p>
    <w:p w:rsidR="005227EA" w:rsidRPr="00925A07" w:rsidRDefault="005227EA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 w:rsidR="00021127"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индикаторов из листьев краснокочанной капусты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Весы с </w:t>
      </w:r>
      <w:proofErr w:type="gramStart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разновесами,  штатив</w:t>
      </w:r>
      <w:proofErr w:type="gramEnd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плоды черники, листья краснокочанной капусты цветки герани, вода, спиртовка, спички, химический стакан-2, стеклянная палочка, воронка, фильтр,  две пробирки, растворы кислоты и щелочи, полоски фильтровальной бумаги, пустая склянка, спирт, ступка с пестиком, асбестовая сетка.</w:t>
      </w:r>
    </w:p>
    <w:p w:rsidR="005227EA" w:rsidRPr="00925A07" w:rsidRDefault="005227EA" w:rsidP="0052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EA" w:rsidRPr="00925A07" w:rsidRDefault="00021127" w:rsidP="005227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Взвесьте </w:t>
      </w:r>
      <w:r w:rsidR="005227EA"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листьев</w:t>
      </w:r>
      <w:r w:rsidR="005227EA"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перенесите в химический стакан.</w:t>
      </w:r>
    </w:p>
    <w:p w:rsidR="005227EA" w:rsidRPr="00925A07" w:rsidRDefault="005227EA" w:rsidP="005227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10мл. воды и кипятите в течение 1-2мин. (весо</w:t>
      </w:r>
      <w:r w:rsidR="00021127"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отношения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листьев и воды</w:t>
      </w:r>
      <w:r w:rsidR="00021127"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1:2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27EA" w:rsidRPr="00925A07" w:rsidRDefault="005227EA" w:rsidP="005227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Охладите растворы и профильтруйте. </w:t>
      </w:r>
    </w:p>
    <w:p w:rsidR="005227EA" w:rsidRPr="00925A07" w:rsidRDefault="005227EA" w:rsidP="005227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Испытайте действие на полученные </w:t>
      </w:r>
      <w:proofErr w:type="gramStart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 а</w:t>
      </w:r>
      <w:proofErr w:type="gramEnd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кислоты, б) щелочи. Для этого в пробирки прилейте 2мл. полученного раствора и добавьте к ним по 0,5 мл в одну - раствора кислоты, в другую - раствор щелочи (или соды). </w:t>
      </w:r>
    </w:p>
    <w:p w:rsidR="005227EA" w:rsidRPr="00925A07" w:rsidRDefault="005227EA" w:rsidP="005227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занесите в таблицу.</w:t>
      </w:r>
    </w:p>
    <w:p w:rsidR="005227EA" w:rsidRPr="00925A07" w:rsidRDefault="005227EA" w:rsidP="005227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Сделайте вывод о возможности использования данного растения (его частей) в качестве индикатора.</w:t>
      </w:r>
    </w:p>
    <w:p w:rsidR="005227EA" w:rsidRPr="00925A07" w:rsidRDefault="005227EA" w:rsidP="005227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988"/>
        <w:gridCol w:w="2214"/>
        <w:gridCol w:w="1780"/>
        <w:gridCol w:w="1766"/>
      </w:tblGrid>
      <w:tr w:rsidR="005227EA" w:rsidRPr="00925A07" w:rsidTr="00E45522">
        <w:trPr>
          <w:trHeight w:val="300"/>
          <w:jc w:val="center"/>
        </w:trPr>
        <w:tc>
          <w:tcPr>
            <w:tcW w:w="540" w:type="dxa"/>
            <w:vMerge w:val="restart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№</w:t>
            </w:r>
          </w:p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Сырьё для приготовления</w:t>
            </w:r>
          </w:p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индикатора</w:t>
            </w:r>
          </w:p>
        </w:tc>
        <w:tc>
          <w:tcPr>
            <w:tcW w:w="2214" w:type="dxa"/>
            <w:vMerge w:val="restart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Естественный цвет индикатора</w:t>
            </w:r>
          </w:p>
        </w:tc>
        <w:tc>
          <w:tcPr>
            <w:tcW w:w="3546" w:type="dxa"/>
            <w:gridSpan w:val="2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Изменение окраски</w:t>
            </w:r>
          </w:p>
        </w:tc>
      </w:tr>
      <w:tr w:rsidR="005227EA" w:rsidRPr="00925A07" w:rsidTr="00E45522">
        <w:trPr>
          <w:trHeight w:val="240"/>
          <w:jc w:val="center"/>
        </w:trPr>
        <w:tc>
          <w:tcPr>
            <w:tcW w:w="540" w:type="dxa"/>
            <w:vMerge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От кислоты</w:t>
            </w:r>
          </w:p>
        </w:tc>
        <w:tc>
          <w:tcPr>
            <w:tcW w:w="1766" w:type="dxa"/>
          </w:tcPr>
          <w:p w:rsidR="005227EA" w:rsidRPr="00925A07" w:rsidRDefault="005227EA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От основания</w:t>
            </w:r>
          </w:p>
        </w:tc>
      </w:tr>
      <w:tr w:rsidR="005227EA" w:rsidRPr="00925A07" w:rsidTr="00E45522">
        <w:trPr>
          <w:trHeight w:val="484"/>
          <w:jc w:val="center"/>
        </w:trPr>
        <w:tc>
          <w:tcPr>
            <w:tcW w:w="540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227EA" w:rsidRPr="00925A07" w:rsidRDefault="005227EA" w:rsidP="00E45522">
            <w:pPr>
              <w:rPr>
                <w:sz w:val="24"/>
                <w:szCs w:val="24"/>
              </w:rPr>
            </w:pPr>
          </w:p>
        </w:tc>
      </w:tr>
    </w:tbl>
    <w:p w:rsidR="005227EA" w:rsidRPr="00925A07" w:rsidRDefault="005227EA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27" w:rsidRPr="00925A07" w:rsidRDefault="00021127" w:rsidP="00AC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карточка №3</w:t>
      </w:r>
    </w:p>
    <w:p w:rsidR="00021127" w:rsidRPr="00925A07" w:rsidRDefault="00021127" w:rsidP="0002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 3</w:t>
      </w:r>
    </w:p>
    <w:p w:rsidR="00021127" w:rsidRPr="00925A07" w:rsidRDefault="00021127" w:rsidP="00021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индикаторов из цветков герани.</w:t>
      </w:r>
    </w:p>
    <w:p w:rsidR="00021127" w:rsidRPr="00925A07" w:rsidRDefault="00021127" w:rsidP="0002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27" w:rsidRPr="00925A07" w:rsidRDefault="00021127" w:rsidP="0002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Весы с </w:t>
      </w:r>
      <w:proofErr w:type="gramStart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разновесами,  штатив</w:t>
      </w:r>
      <w:proofErr w:type="gramEnd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плоды черники, листья краснокочанной капусты цветки герани, вода, спиртовка, спички, химический стакан-2, стеклянная палочка, воронка, фильтр,  две пробирки, растворы кислоты и щелочи, полоски фильтровальной бумаги, пустая склянка, спирт, ступка с пестиком, асбестовая сетка.</w:t>
      </w:r>
    </w:p>
    <w:p w:rsidR="00021127" w:rsidRPr="00925A07" w:rsidRDefault="00021127" w:rsidP="00021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27" w:rsidRPr="00925A07" w:rsidRDefault="00021127" w:rsidP="000211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Взвесьте 0,5г цветков герани, перенесите в химический стакан.</w:t>
      </w:r>
    </w:p>
    <w:p w:rsidR="00021127" w:rsidRPr="00925A07" w:rsidRDefault="00021127" w:rsidP="000211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10мл. воды и кипятите в течение 1-2мин. (весовые отношения цветков герани и воды 1:10)</w:t>
      </w:r>
    </w:p>
    <w:p w:rsidR="00021127" w:rsidRPr="00925A07" w:rsidRDefault="00021127" w:rsidP="000211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Охладите растворы и профильтруйте. </w:t>
      </w:r>
    </w:p>
    <w:p w:rsidR="00021127" w:rsidRPr="00925A07" w:rsidRDefault="00021127" w:rsidP="000211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Испытайте действие на полученные </w:t>
      </w:r>
      <w:proofErr w:type="gramStart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 а</w:t>
      </w:r>
      <w:proofErr w:type="gramEnd"/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кислоты, б) щелочи. Для этого в пробирки прилейте 2мл. полученного раствора и добавьте к ним по 0,5 мл в одну - раствора кислоты, в другую - раствор щелочи (или соды). </w:t>
      </w:r>
    </w:p>
    <w:p w:rsidR="00021127" w:rsidRPr="00925A07" w:rsidRDefault="00021127" w:rsidP="000211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занесите в таблицу.</w:t>
      </w:r>
    </w:p>
    <w:p w:rsidR="00021127" w:rsidRPr="00925A07" w:rsidRDefault="00021127" w:rsidP="0002112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о возможности использования данного растения (его частей) в качестве индикатора.</w:t>
      </w:r>
    </w:p>
    <w:p w:rsidR="00021127" w:rsidRPr="00925A07" w:rsidRDefault="00021127" w:rsidP="000211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988"/>
        <w:gridCol w:w="2214"/>
        <w:gridCol w:w="1780"/>
        <w:gridCol w:w="1766"/>
      </w:tblGrid>
      <w:tr w:rsidR="00021127" w:rsidRPr="00925A07" w:rsidTr="00E45522">
        <w:trPr>
          <w:trHeight w:val="300"/>
          <w:jc w:val="center"/>
        </w:trPr>
        <w:tc>
          <w:tcPr>
            <w:tcW w:w="540" w:type="dxa"/>
            <w:vMerge w:val="restart"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№</w:t>
            </w:r>
          </w:p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Сырьё для приготовления</w:t>
            </w:r>
          </w:p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индикатора</w:t>
            </w:r>
          </w:p>
        </w:tc>
        <w:tc>
          <w:tcPr>
            <w:tcW w:w="2214" w:type="dxa"/>
            <w:vMerge w:val="restart"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Естественный цвет индикатора</w:t>
            </w:r>
          </w:p>
        </w:tc>
        <w:tc>
          <w:tcPr>
            <w:tcW w:w="3546" w:type="dxa"/>
            <w:gridSpan w:val="2"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Изменение окраски</w:t>
            </w:r>
          </w:p>
        </w:tc>
      </w:tr>
      <w:tr w:rsidR="00021127" w:rsidRPr="00925A07" w:rsidTr="00E45522">
        <w:trPr>
          <w:trHeight w:val="240"/>
          <w:jc w:val="center"/>
        </w:trPr>
        <w:tc>
          <w:tcPr>
            <w:tcW w:w="540" w:type="dxa"/>
            <w:vMerge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От кислоты</w:t>
            </w:r>
          </w:p>
        </w:tc>
        <w:tc>
          <w:tcPr>
            <w:tcW w:w="1766" w:type="dxa"/>
          </w:tcPr>
          <w:p w:rsidR="00021127" w:rsidRPr="00925A07" w:rsidRDefault="00021127" w:rsidP="00E45522">
            <w:pPr>
              <w:jc w:val="center"/>
              <w:rPr>
                <w:sz w:val="24"/>
                <w:szCs w:val="24"/>
              </w:rPr>
            </w:pPr>
            <w:r w:rsidRPr="00925A07">
              <w:rPr>
                <w:sz w:val="24"/>
                <w:szCs w:val="24"/>
              </w:rPr>
              <w:t>От основания</w:t>
            </w:r>
          </w:p>
        </w:tc>
      </w:tr>
      <w:tr w:rsidR="00021127" w:rsidRPr="00925A07" w:rsidTr="00E45522">
        <w:trPr>
          <w:trHeight w:val="484"/>
          <w:jc w:val="center"/>
        </w:trPr>
        <w:tc>
          <w:tcPr>
            <w:tcW w:w="540" w:type="dxa"/>
          </w:tcPr>
          <w:p w:rsidR="00021127" w:rsidRPr="00925A07" w:rsidRDefault="00021127" w:rsidP="00E4552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021127" w:rsidRPr="00925A07" w:rsidRDefault="00021127" w:rsidP="00E4552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021127" w:rsidRPr="00925A07" w:rsidRDefault="00021127" w:rsidP="00E4552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21127" w:rsidRPr="00925A07" w:rsidRDefault="00021127" w:rsidP="00E4552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021127" w:rsidRPr="00925A07" w:rsidRDefault="00021127" w:rsidP="00E45522">
            <w:pPr>
              <w:rPr>
                <w:sz w:val="24"/>
                <w:szCs w:val="24"/>
              </w:rPr>
            </w:pPr>
          </w:p>
        </w:tc>
      </w:tr>
    </w:tbl>
    <w:p w:rsidR="00021127" w:rsidRPr="00925A07" w:rsidRDefault="00021127" w:rsidP="00021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2AF" w:rsidRPr="00925A07" w:rsidRDefault="000912AF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карточка №4</w:t>
      </w:r>
    </w:p>
    <w:p w:rsidR="005227EA" w:rsidRPr="00925A07" w:rsidRDefault="005227EA" w:rsidP="0052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 4</w:t>
      </w:r>
      <w:r w:rsidR="000912AF" w:rsidRPr="0092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группам)</w:t>
      </w:r>
    </w:p>
    <w:p w:rsidR="000912AF" w:rsidRPr="00925A07" w:rsidRDefault="005227EA" w:rsidP="000912A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Определение рН среды некоторых средств бытовой химии и косметических средств с помощью полученных индикаторов</w:t>
      </w:r>
    </w:p>
    <w:p w:rsidR="000912AF" w:rsidRPr="00925A07" w:rsidRDefault="000912AF" w:rsidP="000912AF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b/>
          <w:iCs/>
          <w:color w:val="000000"/>
          <w:sz w:val="21"/>
          <w:szCs w:val="21"/>
        </w:rPr>
        <w:t>Цель:</w:t>
      </w:r>
      <w:r w:rsidRPr="00925A07">
        <w:rPr>
          <w:b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>с помощью полученных индикаторов исследовать косметико-гигиенические и моющие средства.</w:t>
      </w:r>
    </w:p>
    <w:p w:rsidR="005227EA" w:rsidRPr="00925A07" w:rsidRDefault="005227EA" w:rsidP="000912A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Оборудование:</w:t>
      </w:r>
      <w:r w:rsidRPr="00925A0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химические стаканчики, стеклянные палочки, пробирки, пипетки.</w:t>
      </w:r>
    </w:p>
    <w:p w:rsidR="005227EA" w:rsidRPr="00925A07" w:rsidRDefault="005227EA" w:rsidP="005227E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Реактивы: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образцы моющих и косметико-гигиенические средств: </w:t>
      </w:r>
      <w:r w:rsidR="00C84792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хозяйственное мыло, 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шампунь, </w:t>
      </w:r>
      <w:r w:rsidR="00C818B7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«АОС», </w:t>
      </w:r>
      <w:proofErr w:type="spellStart"/>
      <w:r w:rsidR="00C818B7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хояйственное</w:t>
      </w:r>
      <w:proofErr w:type="spellEnd"/>
      <w:r w:rsidR="00C818B7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мыло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; растительные индикаторы (из свёклы, цветков герани, краснокочанной капусты).</w:t>
      </w:r>
    </w:p>
    <w:p w:rsidR="005227EA" w:rsidRPr="00925A07" w:rsidRDefault="005227EA" w:rsidP="005227E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Каждое исследуемое чистящее и моющее средство растворили в воде и разделили на 4 части. В первую пробирку опустили универсальную индикаторную бумажку, в остальные три добавили соответственно по 3 капли отвара свёклы, краснокочанной капусты, цветков герани. В каждой из пробирок индикаторы изменили окраску.</w:t>
      </w:r>
    </w:p>
    <w:p w:rsidR="00E45522" w:rsidRPr="00925A07" w:rsidRDefault="00E45522" w:rsidP="005227E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останется время-сообщение.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b/>
          <w:bCs/>
          <w:color w:val="000000"/>
          <w:sz w:val="21"/>
          <w:szCs w:val="21"/>
        </w:rPr>
        <w:t>Применение природных индикаторов в медицине.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Данные последних лет свидетельствуют, что красящие вещества растений обладают многообразными лечебными эффектами и благотворно влияние на организм человека.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 xml:space="preserve">Антоцианы имеют огромное биохимическое значение. Они являются мощными антиоксидантами, которые сильнее в 50 раз витамина С. Они оказывают защитное действие на сосуды, уменьшая их ломкость, помогают снизить </w:t>
      </w:r>
      <w:r w:rsidRPr="00925A07">
        <w:rPr>
          <w:color w:val="000000"/>
          <w:sz w:val="21"/>
          <w:szCs w:val="21"/>
        </w:rPr>
        <w:lastRenderedPageBreak/>
        <w:t>уровень сахара в крови, улучшают память. Поступая в организм человека с фруктами и овощами, антоцианы проявляют действие, схожее с витамином Р, они поддерживают нормальное состояние кровяного давления и сосудов, предупреждая внутренние кровоизлияния.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Антоцианы обладают уникальными свойствами </w:t>
      </w:r>
      <w:r w:rsidRPr="00925A07">
        <w:rPr>
          <w:b/>
          <w:bCs/>
          <w:color w:val="000000"/>
          <w:sz w:val="21"/>
          <w:szCs w:val="21"/>
        </w:rPr>
        <w:t>– </w:t>
      </w:r>
      <w:r w:rsidRPr="00925A07">
        <w:rPr>
          <w:color w:val="000000"/>
          <w:sz w:val="21"/>
          <w:szCs w:val="21"/>
        </w:rPr>
        <w:t>подавляют рост опухолей.</w:t>
      </w:r>
      <w:r w:rsidRPr="00925A07">
        <w:rPr>
          <w:b/>
          <w:bCs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 xml:space="preserve">Так, </w:t>
      </w:r>
      <w:proofErr w:type="gramStart"/>
      <w:r w:rsidRPr="00925A07">
        <w:rPr>
          <w:color w:val="000000"/>
          <w:sz w:val="21"/>
          <w:szCs w:val="21"/>
        </w:rPr>
        <w:t>например</w:t>
      </w:r>
      <w:proofErr w:type="gramEnd"/>
      <w:r w:rsidRPr="00925A07">
        <w:rPr>
          <w:color w:val="000000"/>
          <w:sz w:val="21"/>
          <w:szCs w:val="21"/>
        </w:rPr>
        <w:t xml:space="preserve"> недавние исследования показали, что употребление антоцианов в пищу помогает сократить риск заболевания раком пищевода и прямой кишки. Приготовленные из растений, содержащих антоцианы, водные и подкисленные настои в течение нескольких часов уничтожали бактерии дизентерии и брюшного тифа. Антоцианы помогают предотвратить развитие катаракты и в целом оказывают благоприятное воздействие на весь организм. Поэтому овощи и фрукты ярких цветов считаются полезными для организма.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b/>
          <w:bCs/>
          <w:color w:val="000000"/>
          <w:sz w:val="21"/>
          <w:szCs w:val="21"/>
        </w:rPr>
        <w:t>Применение природных индикаторов в народном хозяйстве и быту.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Кроме медицины антоцианы также используются и в других областях народного хозяйства. Например, в сельском хозяйстве, для оценки химического состава почвы, степени её плодородия, при разведке полезных ископаемых.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 xml:space="preserve">Или взять хотя бы всем известный картофель. Он имеет различную окраску кожуры, глазков, проростков и мякоти: белую, желтую, розовую, красную, синюю, темно-фиолетовую и даже черную. Различие окраски картофеля зависит от содержащихся в нем пигментов: белая - от бесцветных </w:t>
      </w:r>
      <w:proofErr w:type="spellStart"/>
      <w:r w:rsidRPr="00925A07">
        <w:rPr>
          <w:color w:val="000000"/>
          <w:sz w:val="21"/>
          <w:szCs w:val="21"/>
        </w:rPr>
        <w:t>лейкоантоцианов</w:t>
      </w:r>
      <w:proofErr w:type="spellEnd"/>
      <w:r w:rsidRPr="00925A07">
        <w:rPr>
          <w:color w:val="000000"/>
          <w:sz w:val="21"/>
          <w:szCs w:val="21"/>
        </w:rPr>
        <w:t xml:space="preserve"> или катехинов, желтая - от флавонов и </w:t>
      </w:r>
      <w:proofErr w:type="spellStart"/>
      <w:r w:rsidRPr="00925A07">
        <w:rPr>
          <w:color w:val="000000"/>
          <w:sz w:val="21"/>
          <w:szCs w:val="21"/>
        </w:rPr>
        <w:t>флавоноидов</w:t>
      </w:r>
      <w:proofErr w:type="spellEnd"/>
      <w:r w:rsidRPr="00925A07">
        <w:rPr>
          <w:color w:val="000000"/>
          <w:sz w:val="21"/>
          <w:szCs w:val="21"/>
        </w:rPr>
        <w:t xml:space="preserve">, красная и фиолетовая - от антоцианов. Окрашенные клубни картофеля, как правило, богаче необходимыми для нашего организма веществами. Так, например, клубни с желтой мякотью имеют повышенное содержание жира, </w:t>
      </w:r>
      <w:proofErr w:type="spellStart"/>
      <w:r w:rsidRPr="00925A07">
        <w:rPr>
          <w:color w:val="000000"/>
          <w:sz w:val="21"/>
          <w:szCs w:val="21"/>
        </w:rPr>
        <w:t>каротиноидов</w:t>
      </w:r>
      <w:proofErr w:type="spellEnd"/>
      <w:r w:rsidRPr="00925A07">
        <w:rPr>
          <w:color w:val="000000"/>
          <w:sz w:val="21"/>
          <w:szCs w:val="21"/>
        </w:rPr>
        <w:t xml:space="preserve">, рибофлавина и комплекса </w:t>
      </w:r>
      <w:proofErr w:type="spellStart"/>
      <w:r w:rsidRPr="00925A07">
        <w:rPr>
          <w:color w:val="000000"/>
          <w:sz w:val="21"/>
          <w:szCs w:val="21"/>
        </w:rPr>
        <w:t>флавоноидов</w:t>
      </w:r>
      <w:proofErr w:type="spellEnd"/>
      <w:r w:rsidRPr="00925A07">
        <w:rPr>
          <w:color w:val="000000"/>
          <w:sz w:val="21"/>
          <w:szCs w:val="21"/>
        </w:rPr>
        <w:t>.</w:t>
      </w:r>
      <w:r w:rsidRPr="00925A07">
        <w:rPr>
          <w:color w:val="000000"/>
          <w:sz w:val="21"/>
          <w:szCs w:val="21"/>
        </w:rPr>
        <w:br/>
        <w:t>За счет способности антоцианов менять свою окраску можно наблюдать изменение цвета клубней картофеля в зависимости от применения минеральных удобрений и ядохимикатов. При внесении фосфорных удобрений картофель становиться белым, сульфат калия придаёт розовый цвет. Окраска клубней меняется под влиянием ядохимикатов, содержащих медь, железо, серу, фосфор и другие элементы.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Так же антоцианы</w:t>
      </w:r>
      <w:r w:rsidRPr="00925A07">
        <w:rPr>
          <w:b/>
          <w:bCs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>применяются</w:t>
      </w:r>
      <w:r w:rsidRPr="00925A07">
        <w:rPr>
          <w:b/>
          <w:bCs/>
          <w:color w:val="000000"/>
          <w:sz w:val="21"/>
          <w:szCs w:val="21"/>
        </w:rPr>
        <w:t> </w:t>
      </w:r>
      <w:r w:rsidRPr="00925A07">
        <w:rPr>
          <w:color w:val="000000"/>
          <w:sz w:val="21"/>
          <w:szCs w:val="21"/>
        </w:rPr>
        <w:t>в косметике, т.к. обладают стабилизирующим эффектом и являются коллагенами и в пищевой промышленности в виде добавки E163 в качестве природных красителей. Они применяются в производстве кондитерских изделий, напитков, йогуртов и других пищевых продуктов.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Растительные индикаторы можно использовать и в быту: определять среду растворов различных средств бытовой химии и косметических средств;</w:t>
      </w:r>
    </w:p>
    <w:p w:rsidR="00E45522" w:rsidRPr="00925A07" w:rsidRDefault="00E45522" w:rsidP="00E455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25A07">
        <w:rPr>
          <w:color w:val="000000"/>
          <w:sz w:val="21"/>
          <w:szCs w:val="21"/>
        </w:rPr>
        <w:t>удалять пятна растительного происхождения</w:t>
      </w:r>
    </w:p>
    <w:p w:rsidR="00E45522" w:rsidRPr="00925A07" w:rsidRDefault="00E45522" w:rsidP="005227E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III. Рефлексивно-оценочный этап.</w:t>
      </w:r>
    </w:p>
    <w:p w:rsidR="00C2159C" w:rsidRPr="00925A07" w:rsidRDefault="00C2159C" w:rsidP="00C215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>1. Обсуждение результатов и подведение итогов (по таблице).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«Я благодарю вас за совместную работу. Ваша работа сегодня </w:t>
      </w:r>
      <w:proofErr w:type="gram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–  опережающая</w:t>
      </w:r>
      <w:proofErr w:type="gram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как в теоретическом плане, так и в практике </w:t>
      </w:r>
      <w:r w:rsidR="00C818B7"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эксперимента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C2159C" w:rsidRPr="00925A07" w:rsidRDefault="00C2159C" w:rsidP="00C215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925A07">
        <w:rPr>
          <w:rFonts w:ascii="Times New Roman" w:eastAsia="Times New Roman" w:hAnsi="Times New Roman" w:cs="Times New Roman"/>
          <w:lang w:eastAsia="ru-RU"/>
        </w:rPr>
        <w:t>2. Рефлексия (индивидуальная).</w:t>
      </w:r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Карточка рефлексии.</w:t>
      </w:r>
    </w:p>
    <w:p w:rsidR="00C2159C" w:rsidRPr="00925A07" w:rsidRDefault="00C2159C" w:rsidP="00C215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Вырази</w:t>
      </w:r>
      <w:proofErr w:type="spell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трёх словах своё отношение к занятию.</w:t>
      </w:r>
    </w:p>
    <w:p w:rsidR="00C2159C" w:rsidRPr="00925A07" w:rsidRDefault="00C2159C" w:rsidP="00C215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Хочешь ли ты быть консультантом на одном из </w:t>
      </w:r>
      <w:proofErr w:type="gram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следующих  занятий</w:t>
      </w:r>
      <w:proofErr w:type="gramEnd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? (+ или </w:t>
      </w:r>
      <w:proofErr w:type="gramStart"/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– )</w:t>
      </w:r>
      <w:proofErr w:type="gramEnd"/>
    </w:p>
    <w:p w:rsidR="00C2159C" w:rsidRPr="00925A07" w:rsidRDefault="00C2159C" w:rsidP="00C215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5A0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Учитель:</w:t>
      </w:r>
      <w:r w:rsidRPr="00925A07">
        <w:rPr>
          <w:rFonts w:ascii="Times New Roman" w:eastAsia="Times New Roman" w:hAnsi="Times New Roman" w:cs="Times New Roman"/>
          <w:sz w:val="21"/>
          <w:szCs w:val="21"/>
          <w:lang w:eastAsia="ru-RU"/>
        </w:rPr>
        <w:t> Благодарю всех за участие. На следующем занятии мы применим полученные вами индикаторы для определения свойств некоторых продуктов питания и выработке практических рекомендаций.»</w:t>
      </w:r>
    </w:p>
    <w:p w:rsidR="00821253" w:rsidRPr="00925A07" w:rsidRDefault="00821253" w:rsidP="00DD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253" w:rsidRPr="00925A07" w:rsidRDefault="00821253" w:rsidP="00DD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27" w:rsidRPr="00925A07" w:rsidRDefault="00021127" w:rsidP="00021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D84" w:rsidRPr="00925A07" w:rsidRDefault="00AC6D84" w:rsidP="00021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7" w:rsidRPr="00925A07" w:rsidRDefault="00C818B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7" w:rsidRPr="00925A07" w:rsidRDefault="00C818B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7" w:rsidRDefault="00C818B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7" w:rsidRDefault="00C818B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A07" w:rsidRDefault="00925A07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Инструктивная карточка №1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 1</w:t>
      </w:r>
    </w:p>
    <w:p w:rsidR="007A30C2" w:rsidRPr="00021127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индикато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ров из </w:t>
      </w:r>
      <w:r w:rsidRPr="0002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корнеплодов свёклы.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корнеплода свёклы, вода, спиртовка, спички, химический стакан-2, стеклянная палочка, воронка, 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тр,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пробирки, растворы кислоты и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щелочи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Взвесьте 2г. корнеплодов свёклы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перенесите в химический стакан.</w:t>
      </w:r>
    </w:p>
    <w:p w:rsidR="007A30C2" w:rsidRPr="00DD6FC2" w:rsidRDefault="007A30C2" w:rsidP="007A30C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10мл. воды и кипятите в течении 1-2мин. (весов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отношения корнеплода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воды 1:1)</w:t>
      </w:r>
    </w:p>
    <w:p w:rsidR="007A30C2" w:rsidRPr="00DD6FC2" w:rsidRDefault="007A30C2" w:rsidP="007A30C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Охладите растворы и профильтруйте. </w:t>
      </w:r>
    </w:p>
    <w:p w:rsidR="007A30C2" w:rsidRPr="00DD6FC2" w:rsidRDefault="007A30C2" w:rsidP="007A30C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Испытайте действие на полученные </w:t>
      </w:r>
      <w:proofErr w:type="gramStart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 а</w:t>
      </w:r>
      <w:proofErr w:type="gramEnd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кислоты, б) щелочи. Для этого в 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</w:t>
      </w:r>
      <w:proofErr w:type="gramStart"/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пробирку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прилейте</w:t>
      </w:r>
      <w:proofErr w:type="gramEnd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2мл. 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кислоты, а в другую-щелочи. В обе добавьте полученный раствор индикатора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30C2" w:rsidRPr="00DD6FC2" w:rsidRDefault="007A30C2" w:rsidP="007A30C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занесите в таблицу.</w:t>
      </w:r>
    </w:p>
    <w:p w:rsidR="007A30C2" w:rsidRPr="00DD6FC2" w:rsidRDefault="007A30C2" w:rsidP="007A30C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о возможности использования данного растения (его частей) в качестве индикатора.</w:t>
      </w:r>
    </w:p>
    <w:p w:rsidR="007A30C2" w:rsidRPr="00DD6FC2" w:rsidRDefault="007A30C2" w:rsidP="007A30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988"/>
        <w:gridCol w:w="2214"/>
        <w:gridCol w:w="1780"/>
        <w:gridCol w:w="1766"/>
      </w:tblGrid>
      <w:tr w:rsidR="007A30C2" w:rsidRPr="00DD6FC2" w:rsidTr="00E45522">
        <w:trPr>
          <w:trHeight w:val="300"/>
          <w:jc w:val="center"/>
        </w:trPr>
        <w:tc>
          <w:tcPr>
            <w:tcW w:w="540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Сырьё для приготовления</w:t>
            </w:r>
          </w:p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индикатора</w:t>
            </w:r>
          </w:p>
        </w:tc>
        <w:tc>
          <w:tcPr>
            <w:tcW w:w="2214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Естественный цвет индикатора</w:t>
            </w:r>
          </w:p>
        </w:tc>
        <w:tc>
          <w:tcPr>
            <w:tcW w:w="3546" w:type="dxa"/>
            <w:gridSpan w:val="2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Изменение окраски</w:t>
            </w:r>
          </w:p>
        </w:tc>
      </w:tr>
      <w:tr w:rsidR="007A30C2" w:rsidRPr="00DD6FC2" w:rsidTr="00E45522">
        <w:trPr>
          <w:trHeight w:val="240"/>
          <w:jc w:val="center"/>
        </w:trPr>
        <w:tc>
          <w:tcPr>
            <w:tcW w:w="540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От кислоты</w:t>
            </w:r>
          </w:p>
        </w:tc>
        <w:tc>
          <w:tcPr>
            <w:tcW w:w="1766" w:type="dxa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От основания</w:t>
            </w:r>
          </w:p>
        </w:tc>
      </w:tr>
      <w:tr w:rsidR="007A30C2" w:rsidRPr="00DD6FC2" w:rsidTr="00E45522">
        <w:trPr>
          <w:trHeight w:val="456"/>
          <w:jc w:val="center"/>
        </w:trPr>
        <w:tc>
          <w:tcPr>
            <w:tcW w:w="540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</w:tr>
    </w:tbl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Default="007A30C2" w:rsidP="00147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3B" w:rsidRDefault="0014743B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Инструктивная карточка №2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 2</w:t>
      </w:r>
    </w:p>
    <w:p w:rsidR="007A30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индикаторов из листьев краснокочанной капусты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крас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нокочанной капусты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вода, спиртовка, спички, химический стакан-2, стеклянная палочка, воронка, </w:t>
      </w:r>
      <w:proofErr w:type="gramStart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фильтр,  две</w:t>
      </w:r>
      <w:proofErr w:type="gramEnd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пробирки, растворы кислоты и щ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елочи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Взвесьте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листьев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перенесите в химический стакан.</w:t>
      </w:r>
    </w:p>
    <w:p w:rsidR="007A30C2" w:rsidRPr="00DD6FC2" w:rsidRDefault="007A30C2" w:rsidP="007A30C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10мл. воды и кипятите в течение 1-2мин. (весо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отношения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листьев и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1:2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30C2" w:rsidRPr="00DD6FC2" w:rsidRDefault="007A30C2" w:rsidP="007A30C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Охладите растворы и профильтруйте. </w:t>
      </w:r>
    </w:p>
    <w:p w:rsidR="00A46DFE" w:rsidRPr="00A46DFE" w:rsidRDefault="007A30C2" w:rsidP="00A46DF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Испытайте действие на полученные </w:t>
      </w:r>
      <w:proofErr w:type="gramStart"/>
      <w:r w:rsidRP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 а</w:t>
      </w:r>
      <w:proofErr w:type="gramEnd"/>
      <w:r w:rsidRP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кислоты, б) щелочи. </w:t>
      </w:r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в 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</w:t>
      </w:r>
      <w:proofErr w:type="gramStart"/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пробирку </w:t>
      </w:r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прилейте</w:t>
      </w:r>
      <w:proofErr w:type="gramEnd"/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2мл. 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кислоты, а в другую-щелочи. В обе добавьте полученный раствор индикатора</w:t>
      </w:r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30C2" w:rsidRPr="00A46DFE" w:rsidRDefault="007A30C2" w:rsidP="00E4552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занесите в таблицу.</w:t>
      </w:r>
    </w:p>
    <w:p w:rsidR="007A30C2" w:rsidRPr="00DD6FC2" w:rsidRDefault="007A30C2" w:rsidP="007A30C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о возможности использования данного растения (его частей) в качестве индикатора.</w:t>
      </w:r>
    </w:p>
    <w:p w:rsidR="007A30C2" w:rsidRPr="00DD6FC2" w:rsidRDefault="007A30C2" w:rsidP="007A30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988"/>
        <w:gridCol w:w="2214"/>
        <w:gridCol w:w="1780"/>
        <w:gridCol w:w="1766"/>
      </w:tblGrid>
      <w:tr w:rsidR="007A30C2" w:rsidRPr="00DD6FC2" w:rsidTr="00E45522">
        <w:trPr>
          <w:trHeight w:val="300"/>
          <w:jc w:val="center"/>
        </w:trPr>
        <w:tc>
          <w:tcPr>
            <w:tcW w:w="540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Сырьё для приготовления</w:t>
            </w:r>
          </w:p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индикатора</w:t>
            </w:r>
          </w:p>
        </w:tc>
        <w:tc>
          <w:tcPr>
            <w:tcW w:w="2214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Естественный цвет индикатора</w:t>
            </w:r>
          </w:p>
        </w:tc>
        <w:tc>
          <w:tcPr>
            <w:tcW w:w="3546" w:type="dxa"/>
            <w:gridSpan w:val="2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Изменение окраски</w:t>
            </w:r>
          </w:p>
        </w:tc>
      </w:tr>
      <w:tr w:rsidR="007A30C2" w:rsidRPr="00DD6FC2" w:rsidTr="00E45522">
        <w:trPr>
          <w:trHeight w:val="240"/>
          <w:jc w:val="center"/>
        </w:trPr>
        <w:tc>
          <w:tcPr>
            <w:tcW w:w="540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От кислоты</w:t>
            </w:r>
          </w:p>
        </w:tc>
        <w:tc>
          <w:tcPr>
            <w:tcW w:w="1766" w:type="dxa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От основания</w:t>
            </w:r>
          </w:p>
        </w:tc>
      </w:tr>
      <w:tr w:rsidR="007A30C2" w:rsidRPr="00DD6FC2" w:rsidTr="00E45522">
        <w:trPr>
          <w:trHeight w:val="484"/>
          <w:jc w:val="center"/>
        </w:trPr>
        <w:tc>
          <w:tcPr>
            <w:tcW w:w="540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</w:tr>
    </w:tbl>
    <w:p w:rsidR="007A30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0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DFE" w:rsidRDefault="00A46DFE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DFE" w:rsidRDefault="00A46DFE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DFE" w:rsidRDefault="00A46DFE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DFE" w:rsidRDefault="00A46DFE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0C2" w:rsidRDefault="007A30C2" w:rsidP="00A46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3B" w:rsidRDefault="0014743B" w:rsidP="00A46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0C2" w:rsidRPr="00DD6FC2" w:rsidRDefault="007A30C2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Инструктивная карточка №3</w:t>
      </w:r>
    </w:p>
    <w:p w:rsidR="007A30C2" w:rsidRPr="00DD6F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 3</w:t>
      </w:r>
    </w:p>
    <w:p w:rsidR="007A30C2" w:rsidRPr="00DD6FC2" w:rsidRDefault="007A30C2" w:rsidP="007A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индикаторов из </w:t>
      </w:r>
      <w:r w:rsidRPr="0002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цветков герани.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цветки</w:t>
      </w:r>
      <w:proofErr w:type="gramEnd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герани, вода, спиртовка, спички, химический стакан-2, стеклянная палочка, воронка, фильтр,  две пробирки, растворы кислоты и щ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елочи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0C2" w:rsidRPr="00DD6F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0C2" w:rsidRPr="00DD6FC2" w:rsidRDefault="007A30C2" w:rsidP="007A30C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ьте 0,5г цветков герани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перенесите в химический стакан.</w:t>
      </w:r>
    </w:p>
    <w:p w:rsidR="007A30C2" w:rsidRPr="00DD6FC2" w:rsidRDefault="007A30C2" w:rsidP="007A30C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Залейте 10мл. воды и кипятите в течение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2мин. (весовые отношения </w:t>
      </w: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 герани и воды 1:10)</w:t>
      </w:r>
    </w:p>
    <w:p w:rsidR="007A30C2" w:rsidRPr="00DD6FC2" w:rsidRDefault="007A30C2" w:rsidP="007A30C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Охладите растворы и профильтруйте. </w:t>
      </w:r>
    </w:p>
    <w:p w:rsidR="00A46DFE" w:rsidRPr="00A46DFE" w:rsidRDefault="007A30C2" w:rsidP="00A46DF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Испытайте действие на полученные </w:t>
      </w:r>
      <w:proofErr w:type="gramStart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  а</w:t>
      </w:r>
      <w:proofErr w:type="gramEnd"/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кислоты, б) щелочи.</w:t>
      </w:r>
      <w:r w:rsidR="00A46DFE" w:rsidRP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 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</w:t>
      </w:r>
      <w:proofErr w:type="gramStart"/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пробирку </w:t>
      </w:r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прилейте</w:t>
      </w:r>
      <w:proofErr w:type="gramEnd"/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2мл. </w:t>
      </w:r>
      <w:r w:rsidR="00A46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кислоты, а в другую-щелочи. В обе добавьте полученный раствор индикатора</w:t>
      </w:r>
      <w:r w:rsidR="00A46DFE"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30C2" w:rsidRPr="00DD6FC2" w:rsidRDefault="007A30C2" w:rsidP="007A30C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занесите в таблицу.</w:t>
      </w:r>
    </w:p>
    <w:p w:rsidR="007A30C2" w:rsidRPr="00DD6FC2" w:rsidRDefault="007A30C2" w:rsidP="007A30C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о возможности использования данного растения (его частей) в качестве индикатора.</w:t>
      </w:r>
    </w:p>
    <w:p w:rsidR="007A30C2" w:rsidRPr="00DD6FC2" w:rsidRDefault="007A30C2" w:rsidP="007A30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2988"/>
        <w:gridCol w:w="2214"/>
        <w:gridCol w:w="1780"/>
        <w:gridCol w:w="1766"/>
      </w:tblGrid>
      <w:tr w:rsidR="007A30C2" w:rsidRPr="00DD6FC2" w:rsidTr="00E45522">
        <w:trPr>
          <w:trHeight w:val="300"/>
          <w:jc w:val="center"/>
        </w:trPr>
        <w:tc>
          <w:tcPr>
            <w:tcW w:w="540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Сырьё для приготовления</w:t>
            </w:r>
          </w:p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индикатора</w:t>
            </w:r>
          </w:p>
        </w:tc>
        <w:tc>
          <w:tcPr>
            <w:tcW w:w="2214" w:type="dxa"/>
            <w:vMerge w:val="restart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Естественный цвет индикатора</w:t>
            </w:r>
          </w:p>
        </w:tc>
        <w:tc>
          <w:tcPr>
            <w:tcW w:w="3546" w:type="dxa"/>
            <w:gridSpan w:val="2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Изменение окраски</w:t>
            </w:r>
          </w:p>
        </w:tc>
      </w:tr>
      <w:tr w:rsidR="007A30C2" w:rsidRPr="00DD6FC2" w:rsidTr="00E45522">
        <w:trPr>
          <w:trHeight w:val="240"/>
          <w:jc w:val="center"/>
        </w:trPr>
        <w:tc>
          <w:tcPr>
            <w:tcW w:w="540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От кислоты</w:t>
            </w:r>
          </w:p>
        </w:tc>
        <w:tc>
          <w:tcPr>
            <w:tcW w:w="1766" w:type="dxa"/>
          </w:tcPr>
          <w:p w:rsidR="007A30C2" w:rsidRPr="00DD6FC2" w:rsidRDefault="007A30C2" w:rsidP="00E45522">
            <w:pPr>
              <w:jc w:val="center"/>
              <w:rPr>
                <w:sz w:val="24"/>
                <w:szCs w:val="24"/>
              </w:rPr>
            </w:pPr>
            <w:r w:rsidRPr="00DD6FC2">
              <w:rPr>
                <w:sz w:val="24"/>
                <w:szCs w:val="24"/>
              </w:rPr>
              <w:t>От основания</w:t>
            </w:r>
          </w:p>
        </w:tc>
      </w:tr>
      <w:tr w:rsidR="007A30C2" w:rsidRPr="00DD6FC2" w:rsidTr="00E45522">
        <w:trPr>
          <w:trHeight w:val="484"/>
          <w:jc w:val="center"/>
        </w:trPr>
        <w:tc>
          <w:tcPr>
            <w:tcW w:w="540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A30C2" w:rsidRPr="00DD6FC2" w:rsidRDefault="007A30C2" w:rsidP="00E45522">
            <w:pPr>
              <w:rPr>
                <w:sz w:val="24"/>
                <w:szCs w:val="24"/>
              </w:rPr>
            </w:pPr>
          </w:p>
        </w:tc>
      </w:tr>
    </w:tbl>
    <w:p w:rsidR="007A30C2" w:rsidRDefault="007A30C2" w:rsidP="007A3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0C2" w:rsidRDefault="007A30C2" w:rsidP="0002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27" w:rsidRPr="0014743B" w:rsidRDefault="00021127" w:rsidP="0002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Инструктивная карточка №4</w:t>
      </w:r>
    </w:p>
    <w:p w:rsidR="00021127" w:rsidRPr="0014743B" w:rsidRDefault="00A46DFE" w:rsidP="0002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 4</w:t>
      </w:r>
    </w:p>
    <w:p w:rsidR="00021127" w:rsidRPr="0014743B" w:rsidRDefault="00021127" w:rsidP="0002112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рН среды некоторых средств бытовой химии и косметических средств с помощью полученных индикаторов</w:t>
      </w:r>
    </w:p>
    <w:p w:rsidR="00021127" w:rsidRPr="0014743B" w:rsidRDefault="00021127" w:rsidP="0002112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4743B">
        <w:rPr>
          <w:b/>
          <w:iCs/>
          <w:color w:val="000000"/>
          <w:sz w:val="28"/>
          <w:szCs w:val="28"/>
        </w:rPr>
        <w:t>Цель:</w:t>
      </w:r>
      <w:r w:rsidRPr="0014743B">
        <w:rPr>
          <w:b/>
          <w:color w:val="000000"/>
          <w:sz w:val="28"/>
          <w:szCs w:val="28"/>
        </w:rPr>
        <w:t> </w:t>
      </w:r>
      <w:r w:rsidRPr="0014743B">
        <w:rPr>
          <w:color w:val="000000"/>
          <w:sz w:val="28"/>
          <w:szCs w:val="28"/>
        </w:rPr>
        <w:t>с помощью полученных индикаторов исследовать косметико-гигиенические и моющие средства.</w:t>
      </w:r>
    </w:p>
    <w:p w:rsidR="00021127" w:rsidRPr="0014743B" w:rsidRDefault="00021127" w:rsidP="000211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47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стаканчики, стекля</w:t>
      </w:r>
      <w:r w:rsidR="00C84792"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палочки, пробирки, пипетки, универсальная индикаторная бумага.</w:t>
      </w:r>
    </w:p>
    <w:p w:rsidR="00021127" w:rsidRPr="0014743B" w:rsidRDefault="00021127" w:rsidP="000211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Реактивы:</w:t>
      </w:r>
      <w:r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моющих и косметико-гигиенические средств: </w:t>
      </w:r>
      <w:r w:rsidR="00963B7C"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мыло, гель для душа,</w:t>
      </w:r>
      <w:r w:rsidR="007A30C2"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7C"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«АОС»</w:t>
      </w:r>
      <w:r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растительные индикаторы (из свёклы, цветков герани, краснокочанной капусты).</w:t>
      </w:r>
    </w:p>
    <w:p w:rsidR="00021127" w:rsidRPr="0014743B" w:rsidRDefault="00021127" w:rsidP="0002112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исследуемое чистящее и моющее средство растворили в воде и разделили на 4 части. В первую пробирку опустили универсальную индикаторную бумажку, в остальные три добавили соответственно по 3 капли отвара свёклы, краснокочанной капусты, ц</w:t>
      </w:r>
      <w:r w:rsidR="0014743B" w:rsidRPr="0014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ветков герани. Что наблюдаете?</w:t>
      </w:r>
    </w:p>
    <w:p w:rsidR="00821253" w:rsidRPr="0014743B" w:rsidRDefault="00821253" w:rsidP="00DD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43B" w:rsidRDefault="0014743B" w:rsidP="00A46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4743B" w:rsidSect="00B12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485C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7475A"/>
    <w:multiLevelType w:val="multilevel"/>
    <w:tmpl w:val="1B4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546C"/>
    <w:multiLevelType w:val="hybridMultilevel"/>
    <w:tmpl w:val="F6F2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95DD2"/>
    <w:multiLevelType w:val="multilevel"/>
    <w:tmpl w:val="21CA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56F33"/>
    <w:multiLevelType w:val="multilevel"/>
    <w:tmpl w:val="80B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15790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82EE8"/>
    <w:multiLevelType w:val="hybridMultilevel"/>
    <w:tmpl w:val="FA82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D78D3"/>
    <w:multiLevelType w:val="hybridMultilevel"/>
    <w:tmpl w:val="FA82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0664C"/>
    <w:multiLevelType w:val="multilevel"/>
    <w:tmpl w:val="6B7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F00A9"/>
    <w:multiLevelType w:val="multilevel"/>
    <w:tmpl w:val="0E2E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32A07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F49B9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2451A"/>
    <w:multiLevelType w:val="multilevel"/>
    <w:tmpl w:val="81E2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71CC0"/>
    <w:multiLevelType w:val="multilevel"/>
    <w:tmpl w:val="58A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25F4A"/>
    <w:multiLevelType w:val="hybridMultilevel"/>
    <w:tmpl w:val="B6F0A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76E5B"/>
    <w:multiLevelType w:val="multilevel"/>
    <w:tmpl w:val="DFE2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21DCE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21F66"/>
    <w:multiLevelType w:val="hybridMultilevel"/>
    <w:tmpl w:val="FA82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22DC4"/>
    <w:multiLevelType w:val="hybridMultilevel"/>
    <w:tmpl w:val="F6F2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F1C06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A17F4"/>
    <w:multiLevelType w:val="multilevel"/>
    <w:tmpl w:val="1EE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E3337E"/>
    <w:multiLevelType w:val="hybridMultilevel"/>
    <w:tmpl w:val="39AAA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71111A"/>
    <w:multiLevelType w:val="hybridMultilevel"/>
    <w:tmpl w:val="45A6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FE239D"/>
    <w:multiLevelType w:val="hybridMultilevel"/>
    <w:tmpl w:val="F6F2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20"/>
  </w:num>
  <w:num w:numId="8">
    <w:abstractNumId w:val="1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23"/>
  </w:num>
  <w:num w:numId="14">
    <w:abstractNumId w:val="21"/>
  </w:num>
  <w:num w:numId="15">
    <w:abstractNumId w:val="0"/>
  </w:num>
  <w:num w:numId="16">
    <w:abstractNumId w:val="11"/>
  </w:num>
  <w:num w:numId="17">
    <w:abstractNumId w:val="2"/>
  </w:num>
  <w:num w:numId="18">
    <w:abstractNumId w:val="18"/>
  </w:num>
  <w:num w:numId="19">
    <w:abstractNumId w:val="22"/>
  </w:num>
  <w:num w:numId="20">
    <w:abstractNumId w:val="10"/>
  </w:num>
  <w:num w:numId="21">
    <w:abstractNumId w:val="5"/>
  </w:num>
  <w:num w:numId="22">
    <w:abstractNumId w:val="19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0"/>
    <w:rsid w:val="00021127"/>
    <w:rsid w:val="000912AF"/>
    <w:rsid w:val="0014743B"/>
    <w:rsid w:val="002241DC"/>
    <w:rsid w:val="0027253A"/>
    <w:rsid w:val="00322A41"/>
    <w:rsid w:val="003C636C"/>
    <w:rsid w:val="00471F67"/>
    <w:rsid w:val="004C2CF1"/>
    <w:rsid w:val="004F0175"/>
    <w:rsid w:val="005227EA"/>
    <w:rsid w:val="005640BE"/>
    <w:rsid w:val="006235A5"/>
    <w:rsid w:val="006B5D9B"/>
    <w:rsid w:val="00704E20"/>
    <w:rsid w:val="00733B05"/>
    <w:rsid w:val="007A30C2"/>
    <w:rsid w:val="007C0F3D"/>
    <w:rsid w:val="00821253"/>
    <w:rsid w:val="00897723"/>
    <w:rsid w:val="008B5CA3"/>
    <w:rsid w:val="008F1432"/>
    <w:rsid w:val="00925A07"/>
    <w:rsid w:val="00947FB0"/>
    <w:rsid w:val="00963B7C"/>
    <w:rsid w:val="00A4495E"/>
    <w:rsid w:val="00A46DFE"/>
    <w:rsid w:val="00A56D9B"/>
    <w:rsid w:val="00AC6D84"/>
    <w:rsid w:val="00AF05B1"/>
    <w:rsid w:val="00B12B26"/>
    <w:rsid w:val="00B74471"/>
    <w:rsid w:val="00BF1A7C"/>
    <w:rsid w:val="00C2159C"/>
    <w:rsid w:val="00C818B7"/>
    <w:rsid w:val="00C84792"/>
    <w:rsid w:val="00DB69E3"/>
    <w:rsid w:val="00DD6FC2"/>
    <w:rsid w:val="00E45522"/>
    <w:rsid w:val="00F37505"/>
    <w:rsid w:val="00F80299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E704-2517-4D17-989C-14B0FE2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cp:lastPrinted>2023-12-03T12:51:00Z</cp:lastPrinted>
  <dcterms:created xsi:type="dcterms:W3CDTF">2023-11-17T17:38:00Z</dcterms:created>
  <dcterms:modified xsi:type="dcterms:W3CDTF">2023-12-09T07:50:00Z</dcterms:modified>
</cp:coreProperties>
</file>